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4D2AF" w14:textId="77777777" w:rsidR="00A729F3" w:rsidRDefault="00A729F3" w:rsidP="0017063E">
      <w:pPr>
        <w:jc w:val="both"/>
      </w:pPr>
    </w:p>
    <w:p w14:paraId="37634690" w14:textId="21881268" w:rsidR="00636283" w:rsidRDefault="000B11F7" w:rsidP="0017063E">
      <w:pPr>
        <w:jc w:val="both"/>
        <w:rPr>
          <w:rFonts w:asciiTheme="minorHAnsi" w:hAnsiTheme="minorHAnsi" w:cstheme="minorBidi"/>
        </w:rPr>
      </w:pPr>
      <w:r>
        <w:t>Photo Caption</w:t>
      </w:r>
    </w:p>
    <w:p w14:paraId="7696C49F" w14:textId="77777777" w:rsidR="00636283" w:rsidRDefault="00636283" w:rsidP="0017063E">
      <w:pPr>
        <w:jc w:val="both"/>
      </w:pPr>
    </w:p>
    <w:p w14:paraId="148B50D4" w14:textId="2FCA7106" w:rsidR="00636283" w:rsidRPr="00502336" w:rsidRDefault="0035157B" w:rsidP="00502336">
      <w:pPr>
        <w:spacing w:after="120"/>
        <w:jc w:val="center"/>
        <w:rPr>
          <w:b/>
          <w:i/>
          <w:iCs/>
          <w:sz w:val="28"/>
        </w:rPr>
      </w:pPr>
      <w:r w:rsidRPr="00502336">
        <w:rPr>
          <w:b/>
          <w:i/>
          <w:iCs/>
          <w:sz w:val="28"/>
        </w:rPr>
        <w:t>Guggenheim Abu Dhabi: Do Art, Do It Now! Explore</w:t>
      </w:r>
      <w:r w:rsidR="00502336" w:rsidRPr="00502336">
        <w:rPr>
          <w:b/>
          <w:i/>
          <w:iCs/>
          <w:sz w:val="28"/>
        </w:rPr>
        <w:t>d</w:t>
      </w:r>
      <w:r w:rsidR="00636283" w:rsidRPr="00502336">
        <w:rPr>
          <w:b/>
          <w:i/>
          <w:iCs/>
          <w:sz w:val="28"/>
        </w:rPr>
        <w:t xml:space="preserve"> Artworks </w:t>
      </w:r>
      <w:r w:rsidR="00502336">
        <w:rPr>
          <w:b/>
          <w:i/>
          <w:iCs/>
          <w:sz w:val="28"/>
        </w:rPr>
        <w:t>in an Evening of</w:t>
      </w:r>
      <w:r w:rsidR="00502336" w:rsidRPr="00502336">
        <w:rPr>
          <w:b/>
          <w:i/>
          <w:iCs/>
          <w:sz w:val="28"/>
        </w:rPr>
        <w:t xml:space="preserve"> Playful, Interactive, And Unpredictable Experiences </w:t>
      </w:r>
    </w:p>
    <w:p w14:paraId="3FA8A0B2" w14:textId="447B8F1B" w:rsidR="00636283" w:rsidRPr="00502336" w:rsidRDefault="00502336" w:rsidP="0017063E">
      <w:pPr>
        <w:jc w:val="center"/>
        <w:rPr>
          <w:i/>
          <w:iCs/>
        </w:rPr>
      </w:pPr>
      <w:r>
        <w:rPr>
          <w:i/>
          <w:iCs/>
        </w:rPr>
        <w:t>A</w:t>
      </w:r>
      <w:r w:rsidR="0035157B" w:rsidRPr="00502336">
        <w:rPr>
          <w:i/>
          <w:iCs/>
        </w:rPr>
        <w:t xml:space="preserve">ctivities and performances inspired by 1960s artist network Fluxus </w:t>
      </w:r>
      <w:r w:rsidR="000B11F7" w:rsidRPr="00502336">
        <w:rPr>
          <w:i/>
          <w:iCs/>
        </w:rPr>
        <w:t>brought</w:t>
      </w:r>
      <w:r w:rsidR="0035157B" w:rsidRPr="00502336">
        <w:rPr>
          <w:i/>
          <w:iCs/>
        </w:rPr>
        <w:t xml:space="preserve"> together visual art, theatre, fashion, poetry and music</w:t>
      </w:r>
      <w:r>
        <w:rPr>
          <w:i/>
          <w:iCs/>
        </w:rPr>
        <w:t xml:space="preserve">, exploring the themes of </w:t>
      </w:r>
      <w:r w:rsidRPr="00353828">
        <w:rPr>
          <w:i/>
        </w:rPr>
        <w:t>The Creative Act: Performance, Process, Presence</w:t>
      </w:r>
    </w:p>
    <w:p w14:paraId="432991AC" w14:textId="77777777" w:rsidR="0035157B" w:rsidRDefault="0035157B" w:rsidP="0017063E">
      <w:pPr>
        <w:jc w:val="both"/>
        <w:rPr>
          <w:i/>
        </w:rPr>
      </w:pPr>
    </w:p>
    <w:p w14:paraId="2CC6587D" w14:textId="25A0EE2C" w:rsidR="00636283" w:rsidRDefault="00636283" w:rsidP="00FC7109">
      <w:pPr>
        <w:jc w:val="both"/>
      </w:pPr>
      <w:r>
        <w:rPr>
          <w:b/>
          <w:bCs/>
        </w:rPr>
        <w:t xml:space="preserve">Abu Dhabi, </w:t>
      </w:r>
      <w:r w:rsidR="003940C0">
        <w:rPr>
          <w:b/>
          <w:bCs/>
        </w:rPr>
        <w:t>20</w:t>
      </w:r>
      <w:r w:rsidR="003940C0" w:rsidRPr="003940C0">
        <w:rPr>
          <w:b/>
          <w:bCs/>
          <w:vertAlign w:val="superscript"/>
        </w:rPr>
        <w:t>th</w:t>
      </w:r>
      <w:bookmarkStart w:id="0" w:name="_GoBack"/>
      <w:bookmarkEnd w:id="0"/>
      <w:r w:rsidR="0044414D">
        <w:rPr>
          <w:b/>
          <w:bCs/>
        </w:rPr>
        <w:t xml:space="preserve"> May</w:t>
      </w:r>
      <w:r>
        <w:rPr>
          <w:b/>
          <w:bCs/>
        </w:rPr>
        <w:t xml:space="preserve"> 2017: </w:t>
      </w:r>
      <w:r w:rsidR="003833BE" w:rsidRPr="003833BE">
        <w:rPr>
          <w:i/>
          <w:iCs/>
        </w:rPr>
        <w:t>Do Art, Do It Now!</w:t>
      </w:r>
      <w:r w:rsidR="00061D42">
        <w:rPr>
          <w:i/>
          <w:iCs/>
        </w:rPr>
        <w:t xml:space="preserve">, </w:t>
      </w:r>
      <w:r w:rsidR="00061D42" w:rsidRPr="00D36FE5">
        <w:t>an interactive evening of p</w:t>
      </w:r>
      <w:r w:rsidR="0035157B" w:rsidRPr="00D36FE5">
        <w:t>erformances</w:t>
      </w:r>
      <w:r w:rsidR="0035157B" w:rsidRPr="0035157B">
        <w:t xml:space="preserve"> drawing on</w:t>
      </w:r>
      <w:r w:rsidR="0035157B">
        <w:t xml:space="preserve"> </w:t>
      </w:r>
      <w:r w:rsidR="0035157B" w:rsidRPr="0035157B">
        <w:t>poetry, music, and theatre</w:t>
      </w:r>
      <w:r w:rsidR="00061D42">
        <w:t xml:space="preserve">, </w:t>
      </w:r>
      <w:r w:rsidR="000B11F7">
        <w:t>enthralled</w:t>
      </w:r>
      <w:r w:rsidR="00061D42">
        <w:t xml:space="preserve"> audiences with the themes explored in the current Guggenheim Abu Dhabi exhibition, </w:t>
      </w:r>
      <w:r w:rsidR="00061D42" w:rsidRPr="00353828">
        <w:rPr>
          <w:i/>
        </w:rPr>
        <w:t>The Creative Act: Performance, Process, Presence</w:t>
      </w:r>
      <w:r w:rsidR="00BA1F13">
        <w:t xml:space="preserve">. </w:t>
      </w:r>
      <w:r w:rsidR="0017063E">
        <w:t xml:space="preserve">The evening </w:t>
      </w:r>
      <w:r w:rsidR="000B11F7">
        <w:t>brought</w:t>
      </w:r>
      <w:r w:rsidR="0017063E" w:rsidRPr="0035157B">
        <w:t xml:space="preserve"> together</w:t>
      </w:r>
      <w:r w:rsidR="0017063E">
        <w:t xml:space="preserve"> </w:t>
      </w:r>
      <w:r w:rsidR="0017063E" w:rsidRPr="0035157B">
        <w:t>artists, curators, friends, and audience members</w:t>
      </w:r>
      <w:r w:rsidR="0017063E">
        <w:t xml:space="preserve"> </w:t>
      </w:r>
      <w:r w:rsidR="00D36FE5">
        <w:t>to participate in</w:t>
      </w:r>
      <w:r w:rsidR="0017063E">
        <w:t xml:space="preserve"> </w:t>
      </w:r>
      <w:r w:rsidR="000B11F7">
        <w:t xml:space="preserve">an evening of </w:t>
      </w:r>
      <w:bookmarkStart w:id="1" w:name="_Hlk482806460"/>
      <w:r w:rsidR="0017063E" w:rsidRPr="003833BE">
        <w:t xml:space="preserve">playful, interactive, and unpredictable </w:t>
      </w:r>
      <w:r w:rsidR="0017063E">
        <w:t>experiences</w:t>
      </w:r>
      <w:bookmarkEnd w:id="1"/>
      <w:r w:rsidR="0017063E">
        <w:t xml:space="preserve"> i</w:t>
      </w:r>
      <w:r w:rsidR="003833BE" w:rsidRPr="0035157B">
        <w:t xml:space="preserve">nspired by </w:t>
      </w:r>
      <w:r w:rsidR="00061D42">
        <w:t>the installation</w:t>
      </w:r>
      <w:r w:rsidR="00061D42" w:rsidRPr="00061D42">
        <w:t xml:space="preserve"> </w:t>
      </w:r>
      <w:r w:rsidR="00061D42" w:rsidRPr="00353828">
        <w:rPr>
          <w:i/>
        </w:rPr>
        <w:t>Another Happy Day</w:t>
      </w:r>
      <w:r w:rsidR="00061D42">
        <w:t xml:space="preserve"> </w:t>
      </w:r>
      <w:r w:rsidR="00061D42" w:rsidRPr="0035157B">
        <w:t>(2016</w:t>
      </w:r>
      <w:r w:rsidR="00D36FE5">
        <w:t xml:space="preserve">–17) </w:t>
      </w:r>
      <w:r w:rsidR="00061D42">
        <w:t>by</w:t>
      </w:r>
      <w:r w:rsidR="003833BE">
        <w:t xml:space="preserve"> </w:t>
      </w:r>
      <w:r w:rsidR="003833BE" w:rsidRPr="0035157B">
        <w:t>Ramin</w:t>
      </w:r>
      <w:r w:rsidR="003833BE">
        <w:t xml:space="preserve"> </w:t>
      </w:r>
      <w:r w:rsidR="003833BE" w:rsidRPr="0035157B">
        <w:t>Haerizadeh, Rokni Haerizadeh</w:t>
      </w:r>
      <w:r w:rsidR="00654B8C">
        <w:t xml:space="preserve"> </w:t>
      </w:r>
      <w:r w:rsidR="003833BE" w:rsidRPr="0035157B">
        <w:t>and Hesam</w:t>
      </w:r>
      <w:r w:rsidR="003833BE">
        <w:t xml:space="preserve"> </w:t>
      </w:r>
      <w:r w:rsidR="00D36FE5">
        <w:t>Rahmanian</w:t>
      </w:r>
      <w:r w:rsidR="00061D42">
        <w:t xml:space="preserve">, </w:t>
      </w:r>
      <w:r w:rsidR="00654B8C">
        <w:t xml:space="preserve">which was </w:t>
      </w:r>
      <w:r w:rsidR="00061D42">
        <w:t xml:space="preserve">commissioned for </w:t>
      </w:r>
      <w:r w:rsidR="003833BE" w:rsidRPr="0035157B">
        <w:rPr>
          <w:i/>
          <w:iCs/>
        </w:rPr>
        <w:t>The Creative Act</w:t>
      </w:r>
      <w:r w:rsidR="00FC7109">
        <w:t>.</w:t>
      </w:r>
    </w:p>
    <w:p w14:paraId="36A96FE8" w14:textId="712645D8" w:rsidR="003833BE" w:rsidRDefault="003833BE" w:rsidP="0017063E">
      <w:pPr>
        <w:jc w:val="both"/>
      </w:pPr>
    </w:p>
    <w:p w14:paraId="7FFBF023" w14:textId="77777777" w:rsidR="000B11F7" w:rsidRDefault="000B11F7" w:rsidP="000B11F7">
      <w:pPr>
        <w:jc w:val="both"/>
      </w:pPr>
      <w:r>
        <w:t xml:space="preserve">Held at </w:t>
      </w:r>
      <w:r w:rsidRPr="000B11F7">
        <w:t>Manarat al Saadiyat on Thursday, May 18</w:t>
      </w:r>
      <w:r w:rsidRPr="000B11F7">
        <w:rPr>
          <w:vertAlign w:val="superscript"/>
        </w:rPr>
        <w:t>th</w:t>
      </w:r>
      <w:r>
        <w:t xml:space="preserve">, </w:t>
      </w:r>
      <w:r w:rsidR="003833BE" w:rsidRPr="003833BE">
        <w:rPr>
          <w:i/>
          <w:iCs/>
        </w:rPr>
        <w:t>Do Art, Do It Now!</w:t>
      </w:r>
      <w:r w:rsidR="003833BE" w:rsidRPr="003833BE">
        <w:t xml:space="preserve"> </w:t>
      </w:r>
      <w:r>
        <w:t xml:space="preserve">hosted </w:t>
      </w:r>
      <w:r w:rsidR="00D36FE5">
        <w:t xml:space="preserve">a series of </w:t>
      </w:r>
      <w:r w:rsidR="00337479">
        <w:t>‘</w:t>
      </w:r>
      <w:r w:rsidR="00D36FE5">
        <w:t>acts</w:t>
      </w:r>
      <w:r w:rsidR="00337479">
        <w:t>’</w:t>
      </w:r>
      <w:r w:rsidR="003833BE" w:rsidRPr="003833BE">
        <w:t xml:space="preserve"> </w:t>
      </w:r>
      <w:r>
        <w:t xml:space="preserve">which reflected </w:t>
      </w:r>
      <w:r w:rsidR="003833BE" w:rsidRPr="003833BE">
        <w:t xml:space="preserve">upon the themes and artworks in </w:t>
      </w:r>
      <w:r w:rsidR="00FC7109">
        <w:rPr>
          <w:i/>
          <w:iCs/>
        </w:rPr>
        <w:t>The Creative Act</w:t>
      </w:r>
      <w:r w:rsidR="00FC7109">
        <w:t xml:space="preserve"> and challenge</w:t>
      </w:r>
      <w:r>
        <w:t>d</w:t>
      </w:r>
      <w:r w:rsidR="00FC7109">
        <w:t xml:space="preserve"> </w:t>
      </w:r>
      <w:r w:rsidR="003833BE" w:rsidRPr="003833BE">
        <w:t>traditi</w:t>
      </w:r>
      <w:r w:rsidR="0017063E">
        <w:t xml:space="preserve">onal concepts of art </w:t>
      </w:r>
      <w:r>
        <w:t>involving</w:t>
      </w:r>
      <w:r w:rsidR="003833BE" w:rsidRPr="003833BE">
        <w:t xml:space="preserve"> the artist or the audience undertaking simple actions and performances.</w:t>
      </w:r>
      <w:r w:rsidR="005553C1" w:rsidRPr="005553C1">
        <w:t xml:space="preserve"> </w:t>
      </w:r>
    </w:p>
    <w:p w14:paraId="3296C409" w14:textId="77777777" w:rsidR="000B11F7" w:rsidRDefault="000B11F7" w:rsidP="000B11F7">
      <w:pPr>
        <w:jc w:val="both"/>
      </w:pPr>
    </w:p>
    <w:p w14:paraId="50F88103" w14:textId="0B67DED2" w:rsidR="000B11F7" w:rsidRPr="00624D28" w:rsidRDefault="000B11F7" w:rsidP="000B11F7">
      <w:pPr>
        <w:jc w:val="both"/>
      </w:pPr>
      <w:r>
        <w:t xml:space="preserve">The evening </w:t>
      </w:r>
      <w:r w:rsidRPr="000B11F7">
        <w:t>host</w:t>
      </w:r>
      <w:r>
        <w:t>ed</w:t>
      </w:r>
      <w:r w:rsidRPr="000B11F7">
        <w:t xml:space="preserve"> an unconventional fashion show, featuring eccentric wearable art and designs by participants of </w:t>
      </w:r>
      <w:r>
        <w:rPr>
          <w:i/>
          <w:iCs/>
        </w:rPr>
        <w:t>The Creative Act’s “</w:t>
      </w:r>
      <w:r w:rsidRPr="000B11F7">
        <w:t>Proce</w:t>
      </w:r>
      <w:r>
        <w:t xml:space="preserve">ss Runway” workshops </w:t>
      </w:r>
      <w:r w:rsidRPr="000B11F7">
        <w:t>by students and alumni from Zayed University’s College o</w:t>
      </w:r>
      <w:r>
        <w:t>f Arts and Creative Enterprises;</w:t>
      </w:r>
      <w:r w:rsidRPr="000B11F7">
        <w:t xml:space="preserve"> an interactive spoken word performance piece in real time</w:t>
      </w:r>
      <w:r>
        <w:t>;</w:t>
      </w:r>
      <w:r w:rsidRPr="000B11F7">
        <w:t xml:space="preserve"> on-going art workshops and a live performance by artists Rokni Haerizadeh, Ramin Haerizadeh, and Hesam Rahmanian</w:t>
      </w:r>
      <w:r>
        <w:t>;</w:t>
      </w:r>
      <w:r w:rsidRPr="000B11F7">
        <w:t xml:space="preserve"> ending with a</w:t>
      </w:r>
      <w:r>
        <w:t>n alternative music</w:t>
      </w:r>
      <w:r w:rsidRPr="000B11F7">
        <w:t xml:space="preserve"> DJ set by Basil Al Hadi, Hu</w:t>
      </w:r>
      <w:r>
        <w:t xml:space="preserve">ssein Karim, and Daniil Prutnik </w:t>
      </w:r>
      <w:r w:rsidRPr="00BA1F13">
        <w:t>that mixe</w:t>
      </w:r>
      <w:r>
        <w:t>d</w:t>
      </w:r>
      <w:r w:rsidRPr="00BA1F13">
        <w:t xml:space="preserve"> experimental sound, event </w:t>
      </w:r>
      <w:r>
        <w:t>scores, and visuals to create an immersive experience, reflecting</w:t>
      </w:r>
      <w:r w:rsidRPr="00BA1F13">
        <w:t xml:space="preserve"> the multidisciplinary nature of the art in the Guggenheim Abu Dhabi collection and exhibition.</w:t>
      </w:r>
    </w:p>
    <w:p w14:paraId="4F69CE19" w14:textId="77777777" w:rsidR="000B11F7" w:rsidRDefault="000B11F7" w:rsidP="0017063E">
      <w:pPr>
        <w:jc w:val="both"/>
      </w:pPr>
    </w:p>
    <w:p w14:paraId="4471419B" w14:textId="77777777" w:rsidR="000B11F7" w:rsidRDefault="000B11F7" w:rsidP="000B11F7">
      <w:pPr>
        <w:jc w:val="both"/>
      </w:pPr>
      <w:r>
        <w:t xml:space="preserve">The exhibition’s comprehensive programme of free public events and workshops is aimed at encouraging parents, children, teens and young adults to engage with the creativity on display in the exhibition through a wide variety of activities. Each workshop is directly linked to a specific artwork in the exhibition and presents the participants with an in-depth outlook into the topics and themes of the exhibition. Tailored hands-on activity tours, especially designed for children to create art with a parent or caregiver, and an array of workshops for teens and adults, offer the opportunity to explore the themes of the exhibition on the different aspects of the creative process including movement, performance, sound and sculpture.  </w:t>
      </w:r>
    </w:p>
    <w:p w14:paraId="285A0FA5" w14:textId="77777777" w:rsidR="000B11F7" w:rsidRDefault="000B11F7" w:rsidP="000B11F7">
      <w:pPr>
        <w:jc w:val="both"/>
      </w:pPr>
    </w:p>
    <w:p w14:paraId="3E8C5B60" w14:textId="69AA3FAE" w:rsidR="00250EEA" w:rsidRDefault="000B11F7" w:rsidP="00250EEA">
      <w:pPr>
        <w:jc w:val="both"/>
      </w:pPr>
      <w:r w:rsidRPr="001925AB">
        <w:t xml:space="preserve">On Saturday </w:t>
      </w:r>
      <w:r w:rsidR="00250EEA">
        <w:t>24</w:t>
      </w:r>
      <w:r w:rsidR="00250EEA" w:rsidRPr="00250EEA">
        <w:rPr>
          <w:vertAlign w:val="superscript"/>
        </w:rPr>
        <w:t>th</w:t>
      </w:r>
      <w:r w:rsidRPr="001925AB">
        <w:t xml:space="preserve"> May, </w:t>
      </w:r>
      <w:r w:rsidR="00250EEA">
        <w:t xml:space="preserve">the </w:t>
      </w:r>
      <w:r w:rsidR="00250EEA" w:rsidRPr="00250EEA">
        <w:rPr>
          <w:i/>
          <w:iCs/>
        </w:rPr>
        <w:t>Kinetic Sound Sculpture</w:t>
      </w:r>
      <w:r w:rsidR="00250EEA" w:rsidRPr="00250EEA">
        <w:t xml:space="preserve"> </w:t>
      </w:r>
      <w:r w:rsidR="00250EEA">
        <w:t xml:space="preserve">short </w:t>
      </w:r>
      <w:r w:rsidR="00250EEA" w:rsidRPr="00250EEA">
        <w:t xml:space="preserve">course </w:t>
      </w:r>
      <w:r w:rsidR="00250EEA">
        <w:t>will take</w:t>
      </w:r>
      <w:r w:rsidR="00250EEA" w:rsidRPr="00250EEA">
        <w:t xml:space="preserve"> an in-depth look at the mechanics and makings of kinetic artworks and the use of sound. Held over a series of four sessions at Manarat Al Saadiyat, </w:t>
      </w:r>
      <w:r w:rsidR="00250EEA">
        <w:t>the sessions</w:t>
      </w:r>
      <w:r w:rsidR="00250EEA" w:rsidRPr="00250EEA">
        <w:t xml:space="preserve"> </w:t>
      </w:r>
      <w:r w:rsidR="00250EEA">
        <w:t>will invite</w:t>
      </w:r>
      <w:r w:rsidR="00250EEA" w:rsidRPr="00250EEA">
        <w:t xml:space="preserve"> young adults aged 18 and above to experiment with ways to create a sound sculpture using technology and assemblage, transforming everyday objects and materials into a dynamic sound sculpture.</w:t>
      </w:r>
    </w:p>
    <w:p w14:paraId="2003F565" w14:textId="77777777" w:rsidR="00250EEA" w:rsidRDefault="00250EEA" w:rsidP="00250EEA">
      <w:pPr>
        <w:jc w:val="both"/>
      </w:pPr>
    </w:p>
    <w:p w14:paraId="17018987" w14:textId="299A5036" w:rsidR="000B11F7" w:rsidRPr="00077D8F" w:rsidRDefault="000B11F7" w:rsidP="00250EEA">
      <w:pPr>
        <w:jc w:val="both"/>
      </w:pPr>
      <w:r>
        <w:t xml:space="preserve">Registration is required, please call +971 2 657 5800 or e-mail </w:t>
      </w:r>
      <w:hyperlink r:id="rId6" w:history="1">
        <w:r w:rsidRPr="006F3FA7">
          <w:rPr>
            <w:rStyle w:val="Hyperlink"/>
          </w:rPr>
          <w:t>manaratalsaadiyat@tcaabudhabi.ae</w:t>
        </w:r>
      </w:hyperlink>
      <w:r>
        <w:t xml:space="preserve"> </w:t>
      </w:r>
    </w:p>
    <w:p w14:paraId="4FEDFB08" w14:textId="41813A5C" w:rsidR="000B11F7" w:rsidRDefault="000B11F7" w:rsidP="0017063E">
      <w:pPr>
        <w:jc w:val="both"/>
      </w:pPr>
    </w:p>
    <w:p w14:paraId="28F30909" w14:textId="77777777" w:rsidR="005059CD" w:rsidRDefault="005059CD" w:rsidP="005059CD">
      <w:pPr>
        <w:jc w:val="center"/>
        <w:rPr>
          <w:b/>
          <w:bCs/>
          <w:sz w:val="24"/>
          <w:szCs w:val="24"/>
        </w:rPr>
      </w:pPr>
      <w:r>
        <w:rPr>
          <w:b/>
          <w:bCs/>
          <w:sz w:val="24"/>
          <w:szCs w:val="24"/>
        </w:rPr>
        <w:t>– ENDS –</w:t>
      </w:r>
    </w:p>
    <w:p w14:paraId="0EAE68E7" w14:textId="77777777" w:rsidR="005059CD" w:rsidRDefault="005059CD" w:rsidP="005059CD">
      <w:pPr>
        <w:jc w:val="center"/>
        <w:rPr>
          <w:sz w:val="24"/>
          <w:szCs w:val="24"/>
        </w:rPr>
      </w:pPr>
    </w:p>
    <w:p w14:paraId="53FB1619" w14:textId="77777777" w:rsidR="005059CD" w:rsidRDefault="005059CD" w:rsidP="005059CD">
      <w:pPr>
        <w:jc w:val="center"/>
        <w:rPr>
          <w:u w:val="single"/>
        </w:rPr>
      </w:pPr>
      <w:r>
        <w:rPr>
          <w:b/>
          <w:bCs/>
          <w:u w:val="single"/>
        </w:rPr>
        <w:lastRenderedPageBreak/>
        <w:t>PRESS CONTACTS</w:t>
      </w:r>
      <w:r>
        <w:rPr>
          <w:u w:val="single"/>
        </w:rPr>
        <w:t>:</w:t>
      </w:r>
    </w:p>
    <w:tbl>
      <w:tblPr>
        <w:tblW w:w="0" w:type="auto"/>
        <w:jc w:val="center"/>
        <w:tblCellMar>
          <w:left w:w="0" w:type="dxa"/>
          <w:right w:w="0" w:type="dxa"/>
        </w:tblCellMar>
        <w:tblLook w:val="04A0" w:firstRow="1" w:lastRow="0" w:firstColumn="1" w:lastColumn="0" w:noHBand="0" w:noVBand="1"/>
      </w:tblPr>
      <w:tblGrid>
        <w:gridCol w:w="3690"/>
        <w:gridCol w:w="4320"/>
      </w:tblGrid>
      <w:tr w:rsidR="005059CD" w14:paraId="55360F48" w14:textId="77777777" w:rsidTr="005059CD">
        <w:trPr>
          <w:trHeight w:val="1503"/>
          <w:jc w:val="center"/>
        </w:trPr>
        <w:tc>
          <w:tcPr>
            <w:tcW w:w="3690" w:type="dxa"/>
            <w:tcMar>
              <w:top w:w="0" w:type="dxa"/>
              <w:left w:w="108" w:type="dxa"/>
              <w:bottom w:w="0" w:type="dxa"/>
              <w:right w:w="108" w:type="dxa"/>
            </w:tcMar>
          </w:tcPr>
          <w:p w14:paraId="628B8F0D" w14:textId="77777777" w:rsidR="005059CD" w:rsidRDefault="005059CD">
            <w:pPr>
              <w:rPr>
                <w:b/>
                <w:bCs/>
                <w:sz w:val="20"/>
                <w:szCs w:val="20"/>
              </w:rPr>
            </w:pPr>
          </w:p>
          <w:p w14:paraId="1EFBDAFD" w14:textId="77777777" w:rsidR="005059CD" w:rsidRDefault="005059CD">
            <w:pPr>
              <w:rPr>
                <w:b/>
                <w:bCs/>
                <w:sz w:val="20"/>
                <w:szCs w:val="20"/>
              </w:rPr>
            </w:pPr>
            <w:r>
              <w:rPr>
                <w:b/>
                <w:bCs/>
                <w:sz w:val="20"/>
                <w:szCs w:val="20"/>
              </w:rPr>
              <w:t>TCA Abu Dhabi</w:t>
            </w:r>
          </w:p>
          <w:p w14:paraId="3F0CD9A7" w14:textId="77777777" w:rsidR="005059CD" w:rsidRDefault="005059CD">
            <w:pPr>
              <w:rPr>
                <w:sz w:val="20"/>
                <w:szCs w:val="20"/>
                <w:u w:val="single"/>
              </w:rPr>
            </w:pPr>
            <w:r>
              <w:rPr>
                <w:sz w:val="20"/>
                <w:szCs w:val="20"/>
              </w:rPr>
              <w:t>Faisal Al Dhahri</w:t>
            </w:r>
          </w:p>
          <w:p w14:paraId="6B06A8EB" w14:textId="77777777" w:rsidR="005059CD" w:rsidRDefault="005059CD">
            <w:pPr>
              <w:rPr>
                <w:sz w:val="20"/>
                <w:szCs w:val="20"/>
                <w:lang w:val="fr-FR"/>
              </w:rPr>
            </w:pPr>
            <w:r>
              <w:rPr>
                <w:sz w:val="20"/>
                <w:szCs w:val="20"/>
                <w:lang w:val="fr-FR"/>
              </w:rPr>
              <w:t>Communications – Museums Department</w:t>
            </w:r>
          </w:p>
          <w:p w14:paraId="798B239F" w14:textId="77777777" w:rsidR="005059CD" w:rsidRDefault="0040603D">
            <w:pPr>
              <w:rPr>
                <w:lang w:val="fr-FR"/>
              </w:rPr>
            </w:pPr>
            <w:hyperlink r:id="rId7" w:history="1">
              <w:r w:rsidR="005059CD">
                <w:rPr>
                  <w:rStyle w:val="Hyperlink"/>
                  <w:sz w:val="20"/>
                  <w:szCs w:val="20"/>
                  <w:lang w:val="fr-FR"/>
                </w:rPr>
                <w:t>faldhahri@tcaabudhabi.ae</w:t>
              </w:r>
            </w:hyperlink>
            <w:r w:rsidR="005059CD">
              <w:rPr>
                <w:sz w:val="20"/>
                <w:szCs w:val="20"/>
              </w:rPr>
              <w:t xml:space="preserve"> </w:t>
            </w:r>
          </w:p>
        </w:tc>
        <w:tc>
          <w:tcPr>
            <w:tcW w:w="4320" w:type="dxa"/>
            <w:tcMar>
              <w:top w:w="0" w:type="dxa"/>
              <w:left w:w="108" w:type="dxa"/>
              <w:bottom w:w="0" w:type="dxa"/>
              <w:right w:w="108" w:type="dxa"/>
            </w:tcMar>
          </w:tcPr>
          <w:p w14:paraId="69E28C76" w14:textId="77777777" w:rsidR="005059CD" w:rsidRDefault="005059CD">
            <w:pPr>
              <w:rPr>
                <w:b/>
                <w:bCs/>
                <w:color w:val="000000"/>
                <w:sz w:val="20"/>
                <w:szCs w:val="20"/>
                <w:lang w:val="fr-FR"/>
              </w:rPr>
            </w:pPr>
          </w:p>
          <w:p w14:paraId="333374E4" w14:textId="77777777" w:rsidR="005059CD" w:rsidRDefault="005059CD">
            <w:pPr>
              <w:rPr>
                <w:b/>
                <w:bCs/>
                <w:color w:val="000000"/>
                <w:sz w:val="20"/>
                <w:szCs w:val="20"/>
                <w:lang w:val="en-GB"/>
              </w:rPr>
            </w:pPr>
            <w:r>
              <w:rPr>
                <w:b/>
                <w:bCs/>
                <w:color w:val="000000"/>
                <w:sz w:val="20"/>
                <w:szCs w:val="20"/>
              </w:rPr>
              <w:t>Solomon R. Guggenheim Foundation:</w:t>
            </w:r>
          </w:p>
          <w:p w14:paraId="5818297D" w14:textId="77777777" w:rsidR="005059CD" w:rsidRDefault="005059CD">
            <w:pPr>
              <w:rPr>
                <w:color w:val="000000"/>
                <w:sz w:val="20"/>
                <w:szCs w:val="20"/>
              </w:rPr>
            </w:pPr>
            <w:r>
              <w:rPr>
                <w:color w:val="000000"/>
                <w:sz w:val="20"/>
                <w:szCs w:val="20"/>
              </w:rPr>
              <w:t>Tina Vaz</w:t>
            </w:r>
          </w:p>
          <w:p w14:paraId="31FC985F" w14:textId="77777777" w:rsidR="005059CD" w:rsidRDefault="005059CD">
            <w:pPr>
              <w:rPr>
                <w:color w:val="000000"/>
                <w:sz w:val="20"/>
                <w:szCs w:val="20"/>
              </w:rPr>
            </w:pPr>
            <w:r>
              <w:rPr>
                <w:color w:val="000000"/>
                <w:sz w:val="20"/>
                <w:szCs w:val="20"/>
              </w:rPr>
              <w:t>Deputy Director, Global Communications</w:t>
            </w:r>
          </w:p>
          <w:p w14:paraId="426E46EF" w14:textId="77777777" w:rsidR="005059CD" w:rsidRDefault="005059CD">
            <w:pPr>
              <w:rPr>
                <w:color w:val="000000"/>
                <w:sz w:val="20"/>
                <w:szCs w:val="20"/>
              </w:rPr>
            </w:pPr>
            <w:r>
              <w:rPr>
                <w:color w:val="000000"/>
                <w:sz w:val="20"/>
                <w:szCs w:val="20"/>
              </w:rPr>
              <w:t xml:space="preserve">Email: </w:t>
            </w:r>
            <w:hyperlink r:id="rId8" w:history="1">
              <w:r>
                <w:rPr>
                  <w:rStyle w:val="Hyperlink"/>
                  <w:sz w:val="20"/>
                  <w:szCs w:val="20"/>
                </w:rPr>
                <w:t>tvaz@guggenheim.org</w:t>
              </w:r>
            </w:hyperlink>
            <w:r>
              <w:rPr>
                <w:color w:val="000000"/>
                <w:sz w:val="20"/>
                <w:szCs w:val="20"/>
              </w:rPr>
              <w:t xml:space="preserve"> </w:t>
            </w:r>
          </w:p>
          <w:p w14:paraId="1BA4112C" w14:textId="77777777" w:rsidR="005059CD" w:rsidRDefault="005059CD"/>
          <w:p w14:paraId="0033905E" w14:textId="77777777" w:rsidR="005059CD" w:rsidRDefault="005059CD"/>
        </w:tc>
      </w:tr>
    </w:tbl>
    <w:p w14:paraId="15F532A6" w14:textId="77777777" w:rsidR="005059CD" w:rsidRDefault="005059CD" w:rsidP="005059CD">
      <w:pPr>
        <w:rPr>
          <w:b/>
          <w:bCs/>
          <w:sz w:val="18"/>
          <w:szCs w:val="18"/>
          <w:u w:val="single"/>
          <w:lang w:val="en-GB"/>
        </w:rPr>
      </w:pPr>
      <w:r>
        <w:rPr>
          <w:b/>
          <w:bCs/>
          <w:sz w:val="18"/>
          <w:szCs w:val="18"/>
          <w:u w:val="single"/>
        </w:rPr>
        <w:t>ABOUT ABU DHABI TOURISM &amp; CULTURE AUTHORITY (TCA Abu Dhabi)</w:t>
      </w:r>
    </w:p>
    <w:p w14:paraId="7AA4C4F8" w14:textId="77777777" w:rsidR="005059CD" w:rsidRDefault="005059CD" w:rsidP="005059CD">
      <w:pPr>
        <w:jc w:val="both"/>
        <w:rPr>
          <w:sz w:val="18"/>
          <w:szCs w:val="18"/>
        </w:rPr>
      </w:pPr>
      <w:r>
        <w:rPr>
          <w:sz w:val="18"/>
          <w:szCs w:val="18"/>
        </w:rPr>
        <w:t>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Zayed National Museum and Guggenheim Abu Dhabi. TCA Abu Dhabi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14:paraId="1E2566EA" w14:textId="77777777" w:rsidR="005059CD" w:rsidRDefault="0040603D" w:rsidP="005059CD">
      <w:pPr>
        <w:jc w:val="both"/>
        <w:rPr>
          <w:rStyle w:val="Hyperlink"/>
        </w:rPr>
      </w:pPr>
      <w:hyperlink r:id="rId9" w:history="1">
        <w:r w:rsidR="005059CD">
          <w:rPr>
            <w:rStyle w:val="Hyperlink"/>
            <w:sz w:val="18"/>
            <w:szCs w:val="18"/>
          </w:rPr>
          <w:t>http://tcaabudhabi.ae/en</w:t>
        </w:r>
      </w:hyperlink>
    </w:p>
    <w:p w14:paraId="1BE9EC90" w14:textId="77777777" w:rsidR="005059CD" w:rsidRDefault="005059CD" w:rsidP="005059CD">
      <w:pPr>
        <w:spacing w:line="336" w:lineRule="auto"/>
        <w:rPr>
          <w:b/>
          <w:bCs/>
          <w:color w:val="000000"/>
          <w:sz w:val="16"/>
          <w:szCs w:val="16"/>
        </w:rPr>
      </w:pPr>
    </w:p>
    <w:p w14:paraId="782503B6" w14:textId="77777777" w:rsidR="005059CD" w:rsidRDefault="005059CD" w:rsidP="005059CD">
      <w:pPr>
        <w:rPr>
          <w:b/>
          <w:bCs/>
          <w:color w:val="000000"/>
          <w:sz w:val="18"/>
          <w:szCs w:val="18"/>
          <w:u w:val="single"/>
        </w:rPr>
      </w:pPr>
      <w:r>
        <w:rPr>
          <w:b/>
          <w:bCs/>
          <w:color w:val="000000"/>
          <w:sz w:val="18"/>
          <w:szCs w:val="18"/>
          <w:u w:val="single"/>
        </w:rPr>
        <w:t xml:space="preserve">ABOUT GUGGENHEIM ABU DHABI </w:t>
      </w:r>
    </w:p>
    <w:p w14:paraId="3F0C4E2F" w14:textId="77777777" w:rsidR="005059CD" w:rsidRDefault="005059CD" w:rsidP="005059CD">
      <w:pPr>
        <w:jc w:val="both"/>
        <w:rPr>
          <w:sz w:val="18"/>
          <w:szCs w:val="18"/>
        </w:rPr>
      </w:pPr>
      <w:r>
        <w:rPr>
          <w:sz w:val="18"/>
          <w:szCs w:val="18"/>
        </w:rPr>
        <w:t xml:space="preserve">Guggenheim Abu Dhabi will promote the understanding and appreciation of contemporary art, architecture, and other manifestations of modern and contemporary visual culture from an international perspective. A curatorial programme with a transcultural perspective on art and visual culture from the 1960s to the present will have a strong focus on art from West Asia, North Africa, and South Asia, exploring the specific identity derived from the cultural traditions of Abu Dhabi and the United Arab Emirates. The future museum, and its growing collection, is owned by the Government of Abu Dhabi. Surrounded almost entirely by water, Guggenheim Abu Dhabi will have spectacular views of the Saadiyat Cultural District and the Arabian Gulf. Galleries, many unprecedented in scale, are distributed around the central atrium on four levels connected by glass bridges above. Open to the elements, the museum cones housing contemporary art commissions, recall the region’s ancient wind-towers, which both ventilate and shade the exterior courtyards in a fitting blend of Arabian tradition and modern design. The museum will also feature a 350-seat theatre, education workshops and classrooms, an onsite conservation lab, as well as a retail store, cafes, and a restaurant. </w:t>
      </w:r>
    </w:p>
    <w:p w14:paraId="56203EA9" w14:textId="77777777" w:rsidR="005059CD" w:rsidRDefault="005059CD" w:rsidP="005059CD">
      <w:pPr>
        <w:jc w:val="both"/>
        <w:rPr>
          <w:sz w:val="18"/>
          <w:szCs w:val="18"/>
        </w:rPr>
      </w:pPr>
    </w:p>
    <w:p w14:paraId="2E10AE37" w14:textId="77777777" w:rsidR="005059CD" w:rsidRDefault="005059CD" w:rsidP="005059CD">
      <w:pPr>
        <w:jc w:val="both"/>
        <w:rPr>
          <w:sz w:val="18"/>
          <w:szCs w:val="18"/>
        </w:rPr>
      </w:pPr>
      <w:r>
        <w:rPr>
          <w:sz w:val="18"/>
          <w:szCs w:val="18"/>
        </w:rPr>
        <w:t xml:space="preserve">The museum will be a catalyst for scholarship in a variety of fields, chief among them the history of art from West Asia, North Africa, and South Asia in the 20th and 21st centuries. A dynamic programme of changing exhibitions will explore common themes and affinities among the work of artists across time and geography. An ambitious programme of commissions created for the collection and exceptional spaces of Guggenheim Abu Dhabi will reinforce the museum's commitment to working with artists and the art of our time. </w:t>
      </w:r>
    </w:p>
    <w:p w14:paraId="50F83F22" w14:textId="77777777" w:rsidR="005059CD" w:rsidRDefault="005059CD" w:rsidP="005059CD">
      <w:pPr>
        <w:jc w:val="both"/>
        <w:rPr>
          <w:sz w:val="18"/>
          <w:szCs w:val="18"/>
        </w:rPr>
      </w:pPr>
    </w:p>
    <w:p w14:paraId="5E9ADC4F" w14:textId="77777777" w:rsidR="005059CD" w:rsidRDefault="005059CD" w:rsidP="005059CD">
      <w:pPr>
        <w:jc w:val="both"/>
        <w:rPr>
          <w:sz w:val="18"/>
          <w:szCs w:val="18"/>
        </w:rPr>
      </w:pPr>
      <w:r>
        <w:rPr>
          <w:sz w:val="18"/>
          <w:szCs w:val="18"/>
        </w:rPr>
        <w:t>Guggenheim Abu Dhabi is being developed in collaboration with the Solomon R. Guggenheim Foundation.</w:t>
      </w:r>
    </w:p>
    <w:p w14:paraId="76029E2F" w14:textId="77777777" w:rsidR="005059CD" w:rsidRDefault="005059CD" w:rsidP="005059CD">
      <w:pPr>
        <w:rPr>
          <w:sz w:val="18"/>
          <w:szCs w:val="18"/>
        </w:rPr>
      </w:pPr>
    </w:p>
    <w:p w14:paraId="5D7B68F5" w14:textId="77777777" w:rsidR="005059CD" w:rsidRDefault="005059CD" w:rsidP="005059CD">
      <w:pPr>
        <w:rPr>
          <w:b/>
          <w:bCs/>
          <w:sz w:val="18"/>
          <w:szCs w:val="18"/>
          <w:u w:val="single"/>
        </w:rPr>
      </w:pPr>
      <w:r>
        <w:rPr>
          <w:b/>
          <w:bCs/>
          <w:sz w:val="18"/>
          <w:szCs w:val="18"/>
          <w:u w:val="single"/>
        </w:rPr>
        <w:t>ABOUT THE SOLOMON R. GUGGENHEIM FOUNDATION</w:t>
      </w:r>
    </w:p>
    <w:p w14:paraId="627670D1" w14:textId="77777777" w:rsidR="005059CD" w:rsidRDefault="005059CD" w:rsidP="005059CD">
      <w:pPr>
        <w:jc w:val="both"/>
        <w:rPr>
          <w:sz w:val="18"/>
          <w:szCs w:val="18"/>
        </w:rPr>
      </w:pPr>
      <w:r>
        <w:rPr>
          <w:sz w:val="18"/>
          <w:szCs w:val="18"/>
        </w:rPr>
        <w:t xml:space="preserve">Founded in 1937, the Solomon R. Guggenheim Foundation is dedicated to promoting the understanding and appreciation of art, primarily of the modern and contemporary periods, through exhibitions, education programs, research initiatives, and publications. The Guggenheim network that began in the 1970s when the Solomon R. Guggenheim Museum, New York, was joined by the Peggy Guggenheim Collection, Venice, has since expanded to include the Guggenheim Museum Bilbao (opened 1997), and the Guggenheim Abu Dhabi (currently in development). The Guggenheim Foundation continues to forge international collaborations that celebrate contemporary art, architecture, and design within and beyond the walls of the museum, including the Guggenheim UBS MAP Global Art Initiative and The Robert H. N. Ho Family Foundation Chinese Art Initiative. More information about the Solomon R. Guggenheim Foundation can be found at </w:t>
      </w:r>
      <w:hyperlink r:id="rId10" w:history="1">
        <w:r>
          <w:rPr>
            <w:rStyle w:val="Hyperlink"/>
            <w:sz w:val="18"/>
            <w:szCs w:val="18"/>
          </w:rPr>
          <w:t>guggenheim.org</w:t>
        </w:r>
      </w:hyperlink>
      <w:r>
        <w:rPr>
          <w:sz w:val="18"/>
          <w:szCs w:val="18"/>
        </w:rPr>
        <w:t xml:space="preserve">. </w:t>
      </w:r>
    </w:p>
    <w:p w14:paraId="74D2FEC1" w14:textId="77777777" w:rsidR="005059CD" w:rsidRDefault="005059CD" w:rsidP="0017063E">
      <w:pPr>
        <w:jc w:val="both"/>
      </w:pPr>
    </w:p>
    <w:sectPr w:rsidR="005059CD" w:rsidSect="00BA1F13">
      <w:headerReference w:type="default" r:id="rId11"/>
      <w:pgSz w:w="12240" w:h="15840"/>
      <w:pgMar w:top="18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65D42" w14:textId="77777777" w:rsidR="0040603D" w:rsidRDefault="0040603D" w:rsidP="00636283">
      <w:r>
        <w:separator/>
      </w:r>
    </w:p>
  </w:endnote>
  <w:endnote w:type="continuationSeparator" w:id="0">
    <w:p w14:paraId="234CAA1D" w14:textId="77777777" w:rsidR="0040603D" w:rsidRDefault="0040603D" w:rsidP="0063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D6669" w14:textId="77777777" w:rsidR="0040603D" w:rsidRDefault="0040603D" w:rsidP="00636283">
      <w:r>
        <w:separator/>
      </w:r>
    </w:p>
  </w:footnote>
  <w:footnote w:type="continuationSeparator" w:id="0">
    <w:p w14:paraId="36000213" w14:textId="77777777" w:rsidR="0040603D" w:rsidRDefault="0040603D" w:rsidP="00636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F5A87" w14:textId="77777777" w:rsidR="00636283" w:rsidRDefault="00636283">
    <w:pPr>
      <w:pStyle w:val="Header"/>
    </w:pPr>
    <w:r>
      <w:rPr>
        <w:noProof/>
      </w:rPr>
      <w:drawing>
        <wp:inline distT="0" distB="0" distL="0" distR="0" wp14:anchorId="6DCD50B3" wp14:editId="789DD0CB">
          <wp:extent cx="2547620" cy="523875"/>
          <wp:effectExtent l="0" t="0" r="5080" b="9525"/>
          <wp:docPr id="15" name="Picture 15" descr="Description: cid:image001.png@01CE1E40.97FDDCA0"/>
          <wp:cNvGraphicFramePr/>
          <a:graphic xmlns:a="http://schemas.openxmlformats.org/drawingml/2006/main">
            <a:graphicData uri="http://schemas.openxmlformats.org/drawingml/2006/picture">
              <pic:pic xmlns:pic="http://schemas.openxmlformats.org/drawingml/2006/picture">
                <pic:nvPicPr>
                  <pic:cNvPr id="1" name="Picture 1" descr="Description: cid:image001.png@01CE1E40.97FDDCA0"/>
                  <pic:cNvPicPr/>
                </pic:nvPicPr>
                <pic:blipFill rotWithShape="1">
                  <a:blip r:embed="rId1" r:link="rId2">
                    <a:extLst>
                      <a:ext uri="{28A0092B-C50C-407E-A947-70E740481C1C}">
                        <a14:useLocalDpi xmlns:a14="http://schemas.microsoft.com/office/drawing/2010/main" val="0"/>
                      </a:ext>
                    </a:extLst>
                  </a:blip>
                  <a:srcRect b="15816"/>
                  <a:stretch/>
                </pic:blipFill>
                <pic:spPr bwMode="auto">
                  <a:xfrm>
                    <a:off x="0" y="0"/>
                    <a:ext cx="2547620" cy="523875"/>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ab/>
    </w:r>
    <w:r>
      <w:rPr>
        <w:noProof/>
      </w:rPr>
      <w:tab/>
    </w:r>
    <w:r>
      <w:rPr>
        <w:noProof/>
      </w:rPr>
      <w:drawing>
        <wp:inline distT="0" distB="0" distL="0" distR="0" wp14:anchorId="595FFFFE" wp14:editId="52ECA40A">
          <wp:extent cx="1743075" cy="609600"/>
          <wp:effectExtent l="0" t="0" r="9525" b="0"/>
          <wp:docPr id="16" name="Picture 16" descr="cid:image003.jpg@01D238D9.3D3BE5C0"/>
          <wp:cNvGraphicFramePr/>
          <a:graphic xmlns:a="http://schemas.openxmlformats.org/drawingml/2006/main">
            <a:graphicData uri="http://schemas.openxmlformats.org/drawingml/2006/picture">
              <pic:pic xmlns:pic="http://schemas.openxmlformats.org/drawingml/2006/picture">
                <pic:nvPicPr>
                  <pic:cNvPr id="2" name="Picture 2" descr="cid:image003.jpg@01D238D9.3D3BE5C0"/>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743075" cy="6096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283"/>
    <w:rsid w:val="00061D42"/>
    <w:rsid w:val="000878E1"/>
    <w:rsid w:val="000B11F7"/>
    <w:rsid w:val="000F437F"/>
    <w:rsid w:val="0017063E"/>
    <w:rsid w:val="001715BD"/>
    <w:rsid w:val="00205CFE"/>
    <w:rsid w:val="00250EEA"/>
    <w:rsid w:val="002D1D82"/>
    <w:rsid w:val="00337479"/>
    <w:rsid w:val="003411BB"/>
    <w:rsid w:val="0035157B"/>
    <w:rsid w:val="00353828"/>
    <w:rsid w:val="003833BE"/>
    <w:rsid w:val="003940C0"/>
    <w:rsid w:val="0040603D"/>
    <w:rsid w:val="0044414D"/>
    <w:rsid w:val="00502336"/>
    <w:rsid w:val="005059CD"/>
    <w:rsid w:val="005553C1"/>
    <w:rsid w:val="005B5714"/>
    <w:rsid w:val="00624D28"/>
    <w:rsid w:val="00636283"/>
    <w:rsid w:val="00654B8C"/>
    <w:rsid w:val="006C5230"/>
    <w:rsid w:val="009827B2"/>
    <w:rsid w:val="00A729F3"/>
    <w:rsid w:val="00B85752"/>
    <w:rsid w:val="00BA1F13"/>
    <w:rsid w:val="00CD76AD"/>
    <w:rsid w:val="00CE6327"/>
    <w:rsid w:val="00D36FE5"/>
    <w:rsid w:val="00EB0121"/>
    <w:rsid w:val="00EC35AE"/>
    <w:rsid w:val="00FC71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B5430"/>
  <w15:docId w15:val="{D39AB5C7-88F1-4ACB-868F-CDBBB9B7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3628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6283"/>
    <w:pPr>
      <w:tabs>
        <w:tab w:val="center" w:pos="4680"/>
        <w:tab w:val="right" w:pos="9360"/>
      </w:tabs>
    </w:pPr>
  </w:style>
  <w:style w:type="character" w:customStyle="1" w:styleId="HeaderChar">
    <w:name w:val="Header Char"/>
    <w:basedOn w:val="DefaultParagraphFont"/>
    <w:link w:val="Header"/>
    <w:uiPriority w:val="99"/>
    <w:rsid w:val="00636283"/>
    <w:rPr>
      <w:rFonts w:ascii="Calibri" w:hAnsi="Calibri" w:cs="Calibri"/>
    </w:rPr>
  </w:style>
  <w:style w:type="paragraph" w:styleId="Footer">
    <w:name w:val="footer"/>
    <w:basedOn w:val="Normal"/>
    <w:link w:val="FooterChar"/>
    <w:uiPriority w:val="99"/>
    <w:unhideWhenUsed/>
    <w:rsid w:val="00636283"/>
    <w:pPr>
      <w:tabs>
        <w:tab w:val="center" w:pos="4680"/>
        <w:tab w:val="right" w:pos="9360"/>
      </w:tabs>
    </w:pPr>
  </w:style>
  <w:style w:type="character" w:customStyle="1" w:styleId="FooterChar">
    <w:name w:val="Footer Char"/>
    <w:basedOn w:val="DefaultParagraphFont"/>
    <w:link w:val="Footer"/>
    <w:uiPriority w:val="99"/>
    <w:rsid w:val="00636283"/>
    <w:rPr>
      <w:rFonts w:ascii="Calibri" w:hAnsi="Calibri" w:cs="Calibri"/>
    </w:rPr>
  </w:style>
  <w:style w:type="character" w:customStyle="1" w:styleId="tgc">
    <w:name w:val="_tgc"/>
    <w:basedOn w:val="DefaultParagraphFont"/>
    <w:rsid w:val="003833BE"/>
  </w:style>
  <w:style w:type="character" w:styleId="Hyperlink">
    <w:name w:val="Hyperlink"/>
    <w:basedOn w:val="DefaultParagraphFont"/>
    <w:uiPriority w:val="99"/>
    <w:unhideWhenUsed/>
    <w:rsid w:val="005059CD"/>
    <w:rPr>
      <w:color w:val="0563C1"/>
      <w:u w:val="single"/>
    </w:rPr>
  </w:style>
  <w:style w:type="paragraph" w:styleId="BalloonText">
    <w:name w:val="Balloon Text"/>
    <w:basedOn w:val="Normal"/>
    <w:link w:val="BalloonTextChar"/>
    <w:uiPriority w:val="99"/>
    <w:semiHidden/>
    <w:unhideWhenUsed/>
    <w:rsid w:val="00061D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D42"/>
    <w:rPr>
      <w:rFonts w:ascii="Segoe UI" w:hAnsi="Segoe UI" w:cs="Segoe UI"/>
      <w:sz w:val="18"/>
      <w:szCs w:val="18"/>
    </w:rPr>
  </w:style>
  <w:style w:type="character" w:styleId="CommentReference">
    <w:name w:val="annotation reference"/>
    <w:basedOn w:val="DefaultParagraphFont"/>
    <w:uiPriority w:val="99"/>
    <w:semiHidden/>
    <w:unhideWhenUsed/>
    <w:rsid w:val="00EC35AE"/>
    <w:rPr>
      <w:sz w:val="16"/>
      <w:szCs w:val="16"/>
    </w:rPr>
  </w:style>
  <w:style w:type="paragraph" w:styleId="CommentText">
    <w:name w:val="annotation text"/>
    <w:basedOn w:val="Normal"/>
    <w:link w:val="CommentTextChar"/>
    <w:uiPriority w:val="99"/>
    <w:semiHidden/>
    <w:unhideWhenUsed/>
    <w:rsid w:val="00EC35AE"/>
    <w:rPr>
      <w:sz w:val="20"/>
      <w:szCs w:val="20"/>
    </w:rPr>
  </w:style>
  <w:style w:type="character" w:customStyle="1" w:styleId="CommentTextChar">
    <w:name w:val="Comment Text Char"/>
    <w:basedOn w:val="DefaultParagraphFont"/>
    <w:link w:val="CommentText"/>
    <w:uiPriority w:val="99"/>
    <w:semiHidden/>
    <w:rsid w:val="00EC35AE"/>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C35AE"/>
    <w:rPr>
      <w:b/>
      <w:bCs/>
    </w:rPr>
  </w:style>
  <w:style w:type="character" w:customStyle="1" w:styleId="CommentSubjectChar">
    <w:name w:val="Comment Subject Char"/>
    <w:basedOn w:val="CommentTextChar"/>
    <w:link w:val="CommentSubject"/>
    <w:uiPriority w:val="99"/>
    <w:semiHidden/>
    <w:rsid w:val="00EC35AE"/>
    <w:rPr>
      <w:rFonts w:ascii="Calibri" w:hAnsi="Calibri" w:cs="Calibri"/>
      <w:b/>
      <w:bCs/>
      <w:sz w:val="20"/>
      <w:szCs w:val="20"/>
    </w:rPr>
  </w:style>
  <w:style w:type="character" w:styleId="Mention">
    <w:name w:val="Mention"/>
    <w:basedOn w:val="DefaultParagraphFont"/>
    <w:uiPriority w:val="99"/>
    <w:semiHidden/>
    <w:unhideWhenUsed/>
    <w:rsid w:val="000B11F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927270">
      <w:bodyDiv w:val="1"/>
      <w:marLeft w:val="0"/>
      <w:marRight w:val="0"/>
      <w:marTop w:val="0"/>
      <w:marBottom w:val="0"/>
      <w:divBdr>
        <w:top w:val="none" w:sz="0" w:space="0" w:color="auto"/>
        <w:left w:val="none" w:sz="0" w:space="0" w:color="auto"/>
        <w:bottom w:val="none" w:sz="0" w:space="0" w:color="auto"/>
        <w:right w:val="none" w:sz="0" w:space="0" w:color="auto"/>
      </w:divBdr>
    </w:div>
    <w:div w:id="1291597286">
      <w:bodyDiv w:val="1"/>
      <w:marLeft w:val="0"/>
      <w:marRight w:val="0"/>
      <w:marTop w:val="0"/>
      <w:marBottom w:val="0"/>
      <w:divBdr>
        <w:top w:val="none" w:sz="0" w:space="0" w:color="auto"/>
        <w:left w:val="none" w:sz="0" w:space="0" w:color="auto"/>
        <w:bottom w:val="none" w:sz="0" w:space="0" w:color="auto"/>
        <w:right w:val="none" w:sz="0" w:space="0" w:color="auto"/>
      </w:divBdr>
    </w:div>
    <w:div w:id="186332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vaz@guggenheim.or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faldhahri@tcaabudhabi.a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naratalsaadiyat@tcaabudhabi.ae"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www.guggenheim.org/" TargetMode="External"/><Relationship Id="rId4" Type="http://schemas.openxmlformats.org/officeDocument/2006/relationships/footnotes" Target="footnotes.xml"/><Relationship Id="rId9" Type="http://schemas.openxmlformats.org/officeDocument/2006/relationships/hyperlink" Target="http://tcaabudhabi.ae/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CE1E40.97FDDCA0" TargetMode="External"/><Relationship Id="rId1" Type="http://schemas.openxmlformats.org/officeDocument/2006/relationships/image" Target="media/image1.png"/><Relationship Id="rId4" Type="http://schemas.openxmlformats.org/officeDocument/2006/relationships/image" Target="cid:image003.jpg@01D238D9.3D3BE5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Butt, Laraib</dc:creator>
  <cp:lastModifiedBy>Butt, Laraib</cp:lastModifiedBy>
  <cp:revision>5</cp:revision>
  <cp:lastPrinted>2017-05-09T06:30:00Z</cp:lastPrinted>
  <dcterms:created xsi:type="dcterms:W3CDTF">2017-05-17T13:33:00Z</dcterms:created>
  <dcterms:modified xsi:type="dcterms:W3CDTF">2017-05-20T06:18:00Z</dcterms:modified>
</cp:coreProperties>
</file>